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5AB" w:rsidRPr="001666E4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565AB" w:rsidRPr="001666E4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565AB" w:rsidRPr="001666E4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565AB" w:rsidRPr="001666E4" w:rsidRDefault="004565AB" w:rsidP="00E677F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4565AB" w:rsidRPr="00E677F3" w:rsidRDefault="004565AB" w:rsidP="00E677F3">
      <w:pPr>
        <w:spacing w:line="360" w:lineRule="auto"/>
        <w:jc w:val="center"/>
        <w:rPr>
          <w:rFonts w:ascii="Arial" w:hAnsi="Arial" w:cs="Arial"/>
          <w:sz w:val="52"/>
          <w:szCs w:val="52"/>
        </w:rPr>
      </w:pPr>
    </w:p>
    <w:p w:rsidR="00E677F3" w:rsidRDefault="00E677F3" w:rsidP="00E677F3">
      <w:pPr>
        <w:spacing w:line="360" w:lineRule="auto"/>
        <w:jc w:val="center"/>
        <w:rPr>
          <w:rFonts w:ascii="Arial" w:hAnsi="Arial" w:cs="Arial"/>
          <w:sz w:val="52"/>
          <w:szCs w:val="52"/>
        </w:rPr>
      </w:pPr>
    </w:p>
    <w:p w:rsidR="00E677F3" w:rsidRDefault="00E677F3" w:rsidP="00E677F3">
      <w:pPr>
        <w:spacing w:line="360" w:lineRule="auto"/>
        <w:jc w:val="center"/>
        <w:rPr>
          <w:rFonts w:ascii="Arial" w:hAnsi="Arial" w:cs="Arial"/>
          <w:sz w:val="52"/>
          <w:szCs w:val="52"/>
        </w:rPr>
      </w:pPr>
    </w:p>
    <w:p w:rsidR="00016A5E" w:rsidRPr="00E677F3" w:rsidRDefault="004565AB" w:rsidP="00E677F3">
      <w:pPr>
        <w:spacing w:line="360" w:lineRule="auto"/>
        <w:jc w:val="center"/>
        <w:rPr>
          <w:rFonts w:ascii="Arial" w:hAnsi="Arial" w:cs="Arial"/>
          <w:sz w:val="52"/>
          <w:szCs w:val="52"/>
        </w:rPr>
      </w:pPr>
      <w:r w:rsidRPr="00E677F3">
        <w:rPr>
          <w:rFonts w:ascii="Arial" w:hAnsi="Arial" w:cs="Arial"/>
          <w:sz w:val="52"/>
          <w:szCs w:val="52"/>
        </w:rPr>
        <w:t>Sprievodná správa</w:t>
      </w:r>
    </w:p>
    <w:p w:rsidR="004565AB" w:rsidRPr="001666E4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565AB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565AB" w:rsidRDefault="004565AB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77F3" w:rsidRPr="001666E4" w:rsidRDefault="00E677F3" w:rsidP="001666E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66E4">
        <w:rPr>
          <w:rFonts w:ascii="Arial" w:hAnsi="Arial" w:cs="Arial"/>
          <w:b/>
          <w:sz w:val="24"/>
          <w:szCs w:val="24"/>
        </w:rPr>
        <w:lastRenderedPageBreak/>
        <w:t>I.) ÚVODNÉ ÚDAJE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1666E4">
        <w:rPr>
          <w:rFonts w:ascii="Arial" w:hAnsi="Arial" w:cs="Arial"/>
          <w:sz w:val="24"/>
          <w:szCs w:val="24"/>
        </w:rPr>
        <w:t xml:space="preserve">- </w:t>
      </w:r>
      <w:r w:rsidRPr="001666E4">
        <w:rPr>
          <w:rFonts w:ascii="Arial" w:hAnsi="Arial" w:cs="Arial"/>
          <w:sz w:val="24"/>
          <w:szCs w:val="24"/>
          <w:u w:val="single"/>
        </w:rPr>
        <w:t>identifikácia stavby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1666E4">
        <w:rPr>
          <w:rFonts w:ascii="Arial" w:hAnsi="Arial" w:cs="Arial"/>
          <w:sz w:val="24"/>
          <w:szCs w:val="24"/>
          <w:u w:val="single"/>
        </w:rPr>
        <w:t xml:space="preserve">                    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názov akcie: Studenti sobě - Studentské centrum Poříčí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lokalita: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            mesto Brno</w:t>
      </w:r>
    </w:p>
    <w:p w:rsidR="004565AB" w:rsidRPr="001666E4" w:rsidRDefault="004565AB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            nárožná parcela pri ulici Viedenská </w:t>
      </w:r>
      <w:r w:rsidR="000F634D" w:rsidRPr="001666E4">
        <w:rPr>
          <w:rFonts w:ascii="Arial" w:hAnsi="Arial" w:cs="Arial"/>
          <w:sz w:val="24"/>
          <w:szCs w:val="24"/>
        </w:rPr>
        <w:t>a Táborského nábrežie</w:t>
      </w:r>
    </w:p>
    <w:p w:rsidR="000F634D" w:rsidRPr="001666E4" w:rsidRDefault="000F634D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            parcela č.692 podľa aktualizácie stavebnej hranice k 5. 3. 2011</w:t>
      </w:r>
    </w:p>
    <w:p w:rsidR="000F634D" w:rsidRPr="001666E4" w:rsidRDefault="000F634D" w:rsidP="001666E4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- </w:t>
      </w:r>
      <w:r w:rsidRPr="001666E4">
        <w:rPr>
          <w:rFonts w:ascii="Arial" w:hAnsi="Arial" w:cs="Arial"/>
          <w:sz w:val="24"/>
          <w:szCs w:val="24"/>
          <w:u w:val="single"/>
        </w:rPr>
        <w:t>údaje o zadávateľovi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súkromná osoba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>-</w:t>
      </w:r>
      <w:r w:rsidRPr="001666E4">
        <w:rPr>
          <w:rFonts w:ascii="Arial" w:hAnsi="Arial" w:cs="Arial"/>
          <w:sz w:val="24"/>
          <w:szCs w:val="24"/>
          <w:u w:val="single"/>
        </w:rPr>
        <w:t xml:space="preserve"> údaje o spracovateľovi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študent bakalárskeho študijného programu FA VUT Brno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1666E4">
        <w:rPr>
          <w:rFonts w:ascii="Arial" w:hAnsi="Arial" w:cs="Arial"/>
          <w:sz w:val="24"/>
          <w:szCs w:val="24"/>
        </w:rPr>
        <w:t xml:space="preserve">- </w:t>
      </w:r>
      <w:r w:rsidRPr="001666E4">
        <w:rPr>
          <w:rFonts w:ascii="Arial" w:hAnsi="Arial" w:cs="Arial"/>
          <w:sz w:val="24"/>
          <w:szCs w:val="24"/>
          <w:u w:val="single"/>
        </w:rPr>
        <w:t>stupeň spracovávanej dokumentácie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 Rozsah a obsah odovzdávanej architektonickej štúdie je stanovený na základe zadávacieho stavebného programu.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1666E4">
        <w:rPr>
          <w:rFonts w:ascii="Arial" w:hAnsi="Arial" w:cs="Arial"/>
          <w:sz w:val="24"/>
          <w:szCs w:val="24"/>
        </w:rPr>
        <w:t xml:space="preserve">- </w:t>
      </w:r>
      <w:r w:rsidRPr="001666E4">
        <w:rPr>
          <w:rFonts w:ascii="Arial" w:hAnsi="Arial" w:cs="Arial"/>
          <w:sz w:val="24"/>
          <w:szCs w:val="24"/>
          <w:u w:val="single"/>
        </w:rPr>
        <w:t>dátum spracovania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              - máj 2011</w:t>
      </w: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F634D" w:rsidRPr="001666E4" w:rsidRDefault="000F634D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66E4">
        <w:rPr>
          <w:rFonts w:ascii="Arial" w:hAnsi="Arial" w:cs="Arial"/>
          <w:b/>
          <w:sz w:val="24"/>
          <w:szCs w:val="24"/>
        </w:rPr>
        <w:t>II.) SÚHRNNÁ SPRIEVODNÁ A TECHNICKÁ SPRÁVA</w:t>
      </w:r>
    </w:p>
    <w:p w:rsidR="00750B25" w:rsidRPr="001666E4" w:rsidRDefault="00750B25" w:rsidP="001666E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Charakteristika územia stavby</w:t>
      </w:r>
    </w:p>
    <w:p w:rsidR="00750B25" w:rsidRPr="00170FD7" w:rsidRDefault="00170FD7" w:rsidP="00170FD7">
      <w:pPr>
        <w:spacing w:after="0" w:line="360" w:lineRule="auto"/>
        <w:ind w:left="927"/>
        <w:jc w:val="both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</w:t>
      </w:r>
      <w:r w:rsidRPr="00170FD7">
        <w:rPr>
          <w:rFonts w:ascii="Arial" w:eastAsia="Times New Roman" w:hAnsi="Arial" w:cs="Arial"/>
          <w:b/>
          <w:sz w:val="24"/>
          <w:szCs w:val="24"/>
          <w:lang w:eastAsia="sk-SK"/>
        </w:rPr>
        <w:t>1.1</w:t>
      </w:r>
      <w:r w:rsidR="00750B25" w:rsidRPr="00170FD7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="00750B25" w:rsidRPr="00170FD7">
        <w:rPr>
          <w:rFonts w:ascii="Arial" w:eastAsia="Times New Roman" w:hAnsi="Arial" w:cs="Arial"/>
          <w:b/>
          <w:sz w:val="24"/>
          <w:szCs w:val="24"/>
          <w:lang w:eastAsia="sk-SK"/>
        </w:rPr>
        <w:t>Zhodnotenie polohy a stavu staveniska</w:t>
      </w:r>
    </w:p>
    <w:p w:rsidR="00750B25" w:rsidRPr="001666E4" w:rsidRDefault="00750B25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Pozemok pre výstavbu Internátu sa nachádza v Brne časť Brno-Stred na rohu ul. Viedenská a Táborského nábrežie. </w:t>
      </w:r>
      <w:r w:rsidRPr="001666E4">
        <w:rPr>
          <w:rFonts w:ascii="Arial" w:hAnsi="Arial" w:cs="Arial"/>
          <w:sz w:val="24"/>
          <w:szCs w:val="24"/>
        </w:rPr>
        <w:t xml:space="preserve">Parcela sa nachádza v blízkosti historického jadra mesta. 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Pozemok je v súčasnej dobe zastavaný nízkymi objektmi. Na parcele sa nachádza vzrastlá zeleň, časť tejto zelene bude asanovaná.</w:t>
      </w:r>
    </w:p>
    <w:p w:rsidR="000F634D" w:rsidRPr="001666E4" w:rsidRDefault="00527390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>Napojenie na technickú infraštruktúru</w:t>
      </w:r>
      <w:r w:rsidR="00133D96" w:rsidRPr="001666E4">
        <w:rPr>
          <w:rFonts w:ascii="Arial" w:hAnsi="Arial" w:cs="Arial"/>
          <w:sz w:val="24"/>
          <w:szCs w:val="24"/>
        </w:rPr>
        <w:t xml:space="preserve"> vrátane parovodu </w:t>
      </w:r>
      <w:r w:rsidRPr="001666E4">
        <w:rPr>
          <w:rFonts w:ascii="Arial" w:hAnsi="Arial" w:cs="Arial"/>
          <w:sz w:val="24"/>
          <w:szCs w:val="24"/>
        </w:rPr>
        <w:t>je riešené z ulice Viedenská, prípadne je možné využiť napojenie na ulici Táborského nábrežie.</w:t>
      </w:r>
    </w:p>
    <w:p w:rsidR="00133D96" w:rsidRPr="001666E4" w:rsidRDefault="00133D96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1666E4">
        <w:rPr>
          <w:rFonts w:ascii="Arial" w:hAnsi="Arial" w:cs="Arial"/>
          <w:sz w:val="24"/>
          <w:szCs w:val="24"/>
        </w:rPr>
        <w:t xml:space="preserve">2. </w:t>
      </w:r>
      <w:r w:rsidRPr="001666E4">
        <w:rPr>
          <w:rFonts w:ascii="Arial" w:hAnsi="Arial" w:cs="Arial"/>
          <w:i/>
          <w:sz w:val="24"/>
          <w:szCs w:val="24"/>
        </w:rPr>
        <w:t>základná charakteristika stavby a jej využitie</w:t>
      </w:r>
    </w:p>
    <w:p w:rsidR="00750B25" w:rsidRPr="001666E4" w:rsidRDefault="00170FD7" w:rsidP="00170FD7">
      <w:pPr>
        <w:pStyle w:val="ListParagraph"/>
        <w:spacing w:after="0" w:line="360" w:lineRule="auto"/>
        <w:ind w:left="1287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1.2 </w:t>
      </w:r>
      <w:r w:rsidR="00750B25"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Príprava územia pre výstavbu</w:t>
      </w:r>
    </w:p>
    <w:p w:rsidR="00750B25" w:rsidRPr="001666E4" w:rsidRDefault="00750B25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Pred zahájením výkopových prác bude na pozemku odstránená náletová zeleň. V rámci prípravy územia bude potrebné odstrániť vzrastlú zeleň.</w:t>
      </w:r>
    </w:p>
    <w:p w:rsidR="00750B25" w:rsidRPr="001666E4" w:rsidRDefault="00750B25" w:rsidP="001666E4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 2.    Urbanistické, architektonické a stavebno – technické riešenie stavby</w:t>
      </w:r>
    </w:p>
    <w:p w:rsidR="00750B25" w:rsidRPr="001666E4" w:rsidRDefault="00170FD7" w:rsidP="001666E4">
      <w:pPr>
        <w:spacing w:after="0" w:line="360" w:lineRule="auto"/>
        <w:ind w:left="927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  </w:t>
      </w:r>
      <w:r w:rsidR="00750B25"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2.1 Charakteristika stavby</w:t>
      </w:r>
    </w:p>
    <w:p w:rsidR="00750B25" w:rsidRPr="001666E4" w:rsidRDefault="00750B25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lastRenderedPageBreak/>
        <w:t>Objekt bude slúžiť ako Internát a obslužné priestory pre Fakultu architektúry a Pedagogickú fakultu v Brne. Jeho riešením sa umožní sústrediť študentov fakúlt na jedno miesto a zefektívnenie a zlacnenie prevádzky.</w:t>
      </w:r>
    </w:p>
    <w:p w:rsidR="008208F4" w:rsidRPr="001666E4" w:rsidRDefault="00170FD7" w:rsidP="001666E4">
      <w:pPr>
        <w:spacing w:after="0" w:line="360" w:lineRule="auto"/>
        <w:ind w:left="927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   </w:t>
      </w:r>
      <w:r w:rsidR="004B2ADE"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2.2 </w:t>
      </w:r>
      <w:r w:rsidR="008208F4"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Urbanistické riešenie</w:t>
      </w:r>
    </w:p>
    <w:p w:rsidR="008208F4" w:rsidRPr="001666E4" w:rsidRDefault="008208F4" w:rsidP="001666E4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666E4">
        <w:rPr>
          <w:rFonts w:ascii="Arial" w:hAnsi="Arial" w:cs="Arial"/>
          <w:sz w:val="24"/>
          <w:szCs w:val="24"/>
        </w:rPr>
        <w:t>Urbanistické riešenie stavby vychádza z dostavby mestského bloku na ulici Viedenská.</w:t>
      </w:r>
    </w:p>
    <w:p w:rsidR="008208F4" w:rsidRPr="001666E4" w:rsidRDefault="008208F4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Pozemok je vymedzený ulicami Viedenská a Táborského nábrežie. Okolitá zástavba je hmotovo kľudná s dominantou kostola Milosrdných bratov. Tento atribút územia v plnej miere návrh rešpektuje a rieši hmotu nového objektu tak, aby tento prvok výrazne nenarušovala. Filozofiou návrhu je vytvoriť urbanistický a architektonický kontrast s prihliadnutím na jednotlivé v súčasnosti pôsobiace atribúty a zároveň spojiť jestvujúce architektonické objekty a prírodnú krajinu a objekt zapojiť do života mesta.</w:t>
      </w:r>
    </w:p>
    <w:p w:rsidR="004B2ADE" w:rsidRPr="001666E4" w:rsidRDefault="004B2ADE" w:rsidP="001666E4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666E4">
        <w:rPr>
          <w:rFonts w:ascii="Arial" w:hAnsi="Arial" w:cs="Arial"/>
          <w:b/>
          <w:sz w:val="24"/>
          <w:szCs w:val="24"/>
        </w:rPr>
        <w:t xml:space="preserve">            </w:t>
      </w:r>
      <w:r w:rsidR="00170FD7">
        <w:rPr>
          <w:rFonts w:ascii="Arial" w:hAnsi="Arial" w:cs="Arial"/>
          <w:b/>
          <w:sz w:val="24"/>
          <w:szCs w:val="24"/>
        </w:rPr>
        <w:t xml:space="preserve">      </w:t>
      </w:r>
      <w:r w:rsidRPr="001666E4">
        <w:rPr>
          <w:rFonts w:ascii="Arial" w:hAnsi="Arial" w:cs="Arial"/>
          <w:b/>
          <w:sz w:val="24"/>
          <w:szCs w:val="24"/>
        </w:rPr>
        <w:t xml:space="preserve">   2.3</w:t>
      </w:r>
      <w:r w:rsidRPr="001666E4">
        <w:rPr>
          <w:rFonts w:ascii="Arial" w:hAnsi="Arial" w:cs="Arial"/>
          <w:sz w:val="24"/>
          <w:szCs w:val="24"/>
        </w:rPr>
        <w:t xml:space="preserve"> </w:t>
      </w:r>
      <w:r w:rsidR="00087536" w:rsidRPr="001666E4">
        <w:rPr>
          <w:rFonts w:ascii="Arial" w:hAnsi="Arial" w:cs="Arial"/>
          <w:sz w:val="24"/>
          <w:szCs w:val="24"/>
        </w:rPr>
        <w:t xml:space="preserve"> </w:t>
      </w: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Architektonické, dispozičné a prevádzkové riešenie</w:t>
      </w:r>
    </w:p>
    <w:p w:rsidR="00702438" w:rsidRPr="001666E4" w:rsidRDefault="004B2ADE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Objekt Internátu má hlavný vstup orientovaný do ulice Viedenská. Druhá nárožná časť je vybavená vlastným vstupom situovaným do ulice Táborského nábrežie. Obe časti sú v úrovniach 2. – 4.NP prepojené chodbou.</w:t>
      </w:r>
      <w:r w:rsidR="00702438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Hlavná obytná časť je dispozične tvorené obytnými bunkami s počtom lôžok 2+2. Každá bunka je vybavená vlastným sociálnym zariadením a kuchynkou. Na každom podlaží sú situované 2 izby pre imobilných taktiež vybavených sociálnym zariadením a kuchynkou.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V 3.NP svernej časti objektu bude situovaný sklad prádla s chyžnou. S praním prádla sa počíta mimo objektu.</w:t>
      </w:r>
      <w:r w:rsidR="00702438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Obytná časť a spoločenská časť je prepojená chodbou s prístupom na terasu (strecha 1.NP) situovanú do vnútrobloku. Terasa je tvorená z 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>č</w:t>
      </w:r>
      <w:r w:rsidR="00702438" w:rsidRPr="001666E4">
        <w:rPr>
          <w:rFonts w:ascii="Arial" w:eastAsia="Times New Roman" w:hAnsi="Arial" w:cs="Arial"/>
          <w:sz w:val="24"/>
          <w:szCs w:val="24"/>
          <w:lang w:eastAsia="sk-SK"/>
        </w:rPr>
        <w:t>asti extenzivnou zeleňou doplnenou odpočinkovým celoročným mobiliárom.</w:t>
      </w:r>
    </w:p>
    <w:p w:rsidR="004B2ADE" w:rsidRPr="001666E4" w:rsidRDefault="00702438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V suteréne </w:t>
      </w:r>
      <w:r w:rsidR="004B2ADE" w:rsidRPr="001666E4">
        <w:rPr>
          <w:rFonts w:ascii="Arial" w:eastAsia="Times New Roman" w:hAnsi="Arial" w:cs="Arial"/>
          <w:sz w:val="24"/>
          <w:szCs w:val="24"/>
          <w:lang w:eastAsia="sk-SK"/>
        </w:rPr>
        <w:t>má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objekt</w:t>
      </w:r>
      <w:r w:rsidR="004B2ADE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2 podzemné podlažia pre parkovanie osobných automobilov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a skladom pre bicykle</w:t>
      </w:r>
      <w:r w:rsidR="004B2ADE" w:rsidRPr="001666E4">
        <w:rPr>
          <w:rFonts w:ascii="Arial" w:eastAsia="Times New Roman" w:hAnsi="Arial" w:cs="Arial"/>
          <w:sz w:val="24"/>
          <w:szCs w:val="24"/>
          <w:lang w:eastAsia="sk-SK"/>
        </w:rPr>
        <w:t>. Vstup do podzemnej hromadnej garáže bude z komunikácie z ul. Viedenská.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:rsidR="004B2ADE" w:rsidRPr="001666E4" w:rsidRDefault="004B2ADE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Stavba bude založená na železobetónovej základovej doske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a pilotách v hĺbke 12m pod úroveň terénu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. Nadzemná ča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sť objektu bude riešená 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ako ž</w:t>
      </w:r>
      <w:r w:rsidR="00173006" w:rsidRPr="001666E4">
        <w:rPr>
          <w:rFonts w:ascii="Arial" w:eastAsia="Times New Roman" w:hAnsi="Arial" w:cs="Arial"/>
          <w:sz w:val="24"/>
          <w:szCs w:val="24"/>
          <w:lang w:eastAsia="sk-SK"/>
        </w:rPr>
        <w:t>elezobetónový nosný skelet s výplňovým keramickým murivom po obvode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. Fasády budú zateplené.</w:t>
      </w:r>
    </w:p>
    <w:p w:rsidR="004B2ADE" w:rsidRPr="001666E4" w:rsidRDefault="004B2ADE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V objekte budú riešené dva výťahy. Výťahy vo vnútri dispozície budú mať riešené železobetónové šachty a budú prechádzať celou výškou objektu.</w:t>
      </w:r>
    </w:p>
    <w:p w:rsidR="00173006" w:rsidRPr="001666E4" w:rsidRDefault="00173006" w:rsidP="001666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               3. Objekt je navrhnutý na minimálne svahovitom pozemku.</w:t>
      </w:r>
    </w:p>
    <w:p w:rsidR="00173006" w:rsidRPr="001666E4" w:rsidRDefault="00173006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Hydrogeologické pomery územia sú podmienené geologickou stavbou, morfológiou, klimatickými pomermi a predovšetkým okrajovou hydrogeologickou podmienkou – 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riekou. V predstihu bude vykonaný inžinierskogeologický prieskum, ktorého sa </w:t>
      </w:r>
      <w:r w:rsidR="001666E4" w:rsidRPr="001666E4">
        <w:rPr>
          <w:rFonts w:ascii="Arial" w:eastAsia="Times New Roman" w:hAnsi="Arial" w:cs="Arial"/>
          <w:sz w:val="24"/>
          <w:szCs w:val="24"/>
          <w:lang w:eastAsia="sk-SK"/>
        </w:rPr>
        <w:t>bude potreba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pridŕžať.</w:t>
      </w:r>
    </w:p>
    <w:p w:rsidR="00173006" w:rsidRPr="001666E4" w:rsidRDefault="00173006" w:rsidP="001666E4">
      <w:pPr>
        <w:pStyle w:val="ListParagraph"/>
        <w:spacing w:after="0" w:line="360" w:lineRule="auto"/>
        <w:ind w:left="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V stavbe</w:t>
      </w:r>
      <w:r w:rsidR="001666E4"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budú vykonané protiradónové opatrenia.</w:t>
      </w:r>
    </w:p>
    <w:p w:rsidR="001666E4" w:rsidRPr="001666E4" w:rsidRDefault="001666E4" w:rsidP="001666E4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sz w:val="24"/>
          <w:szCs w:val="24"/>
          <w:lang w:eastAsia="sk-SK"/>
        </w:rPr>
        <w:t xml:space="preserve">                    </w:t>
      </w: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4.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1666E4">
        <w:rPr>
          <w:rFonts w:ascii="Arial" w:eastAsia="Times New Roman" w:hAnsi="Arial" w:cs="Arial"/>
          <w:b/>
          <w:sz w:val="24"/>
          <w:szCs w:val="24"/>
          <w:lang w:eastAsia="sk-SK"/>
        </w:rPr>
        <w:t>Stavebnotechnické riešenie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Vodorovné nosné konštrukcie 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Stropy sú navrhnuté ako monolitické železobetónové dosky hrúbky 250 mm, podopreté železobetónovými stľpmi.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 Nosný systém je riešený ako skeletový s obojsmernými prievlakmi.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Strecha je plochá, jej konštrukcia ( hrúbka dosky, stuženia a prievlaky ) je analogická so stropmi nižších podlaží.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Objekt je zakladaný na železobetónovej monolitickej základove</w:t>
      </w:r>
      <w:r>
        <w:rPr>
          <w:rFonts w:ascii="Arial" w:eastAsia="Times New Roman" w:hAnsi="Arial" w:cs="Arial"/>
          <w:sz w:val="24"/>
          <w:szCs w:val="24"/>
          <w:lang w:eastAsia="sk-SK"/>
        </w:rPr>
        <w:t>j doske, ktorá je hrúbky 800 mm uloženej na pilotách priemeru 800mm siahajúcich do hĺbky 12m.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Povrchové úpravy podláh budú riešené z gresovej dlažby, v ubytovacích priestoroch budú riešené kobercové nášlapné vrstvy, v suteréne náter.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Výplne otvorov – exteri</w:t>
      </w:r>
      <w:r>
        <w:rPr>
          <w:rFonts w:ascii="Arial" w:eastAsia="Times New Roman" w:hAnsi="Arial" w:cs="Arial"/>
          <w:sz w:val="24"/>
          <w:szCs w:val="24"/>
          <w:lang w:eastAsia="sk-SK"/>
        </w:rPr>
        <w:t>e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rové budú riešené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 hliníkové zasklené izolačným tr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ojsklom</w:t>
      </w:r>
      <w:r>
        <w:rPr>
          <w:rFonts w:ascii="Arial" w:eastAsia="Times New Roman" w:hAnsi="Arial" w:cs="Arial"/>
          <w:sz w:val="24"/>
          <w:szCs w:val="24"/>
          <w:lang w:eastAsia="sk-SK"/>
        </w:rPr>
        <w:t xml:space="preserve"> z ulice Viedenská a dvojsklom z vnútrobloku</w:t>
      </w:r>
      <w:r w:rsidRPr="001666E4">
        <w:rPr>
          <w:rFonts w:ascii="Arial" w:eastAsia="Times New Roman" w:hAnsi="Arial" w:cs="Arial"/>
          <w:sz w:val="24"/>
          <w:szCs w:val="24"/>
          <w:lang w:eastAsia="sk-SK"/>
        </w:rPr>
        <w:t>. Vnútorné budú riešené ako drevené do drevenej zárubne.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 xml:space="preserve">Povrchové úpravy Spoje rôznych materiálov povrchových úprav budú opatrené akrylátovým resp. silikónovým tmelom. Pre zateplenie fasády objektu budú použité certifikované zatepľovacie systémy. </w:t>
      </w:r>
      <w:r>
        <w:rPr>
          <w:rFonts w:ascii="Arial" w:eastAsia="Times New Roman" w:hAnsi="Arial" w:cs="Arial"/>
          <w:sz w:val="24"/>
          <w:szCs w:val="24"/>
          <w:lang w:eastAsia="sk-SK"/>
        </w:rPr>
        <w:t>Fasáda obytného bloku bude riešená z dôvodu ekologického ako obklad z tvrdených živičných dosiek opatrených povrchovou úpravou.</w:t>
      </w:r>
    </w:p>
    <w:p w:rsidR="001666E4" w:rsidRPr="001666E4" w:rsidRDefault="001666E4" w:rsidP="001666E4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Vnútorné steny budú povrchovo upravené omietkami a obkladmi. S</w:t>
      </w:r>
      <w:r>
        <w:rPr>
          <w:rFonts w:ascii="Arial" w:eastAsia="Times New Roman" w:hAnsi="Arial" w:cs="Arial"/>
          <w:sz w:val="24"/>
          <w:szCs w:val="24"/>
          <w:lang w:eastAsia="sk-SK"/>
        </w:rPr>
        <w:t>tropy budú mať riešené podhľady z dôvodu vedenia technických inštalácií.</w:t>
      </w:r>
    </w:p>
    <w:p w:rsidR="00173006" w:rsidRDefault="001666E4" w:rsidP="00170FD7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666E4">
        <w:rPr>
          <w:rFonts w:ascii="Arial" w:eastAsia="Times New Roman" w:hAnsi="Arial" w:cs="Arial"/>
          <w:sz w:val="24"/>
          <w:szCs w:val="24"/>
          <w:lang w:eastAsia="sk-SK"/>
        </w:rPr>
        <w:t>Objekt bude zastrešený plochou s</w:t>
      </w:r>
      <w:r>
        <w:rPr>
          <w:rFonts w:ascii="Arial" w:eastAsia="Times New Roman" w:hAnsi="Arial" w:cs="Arial"/>
          <w:sz w:val="24"/>
          <w:szCs w:val="24"/>
          <w:lang w:eastAsia="sk-SK"/>
        </w:rPr>
        <w:t>trechou. Krytina asfaltový pás opatrený štrkovým posypom.</w:t>
      </w:r>
    </w:p>
    <w:p w:rsidR="00170FD7" w:rsidRPr="00170FD7" w:rsidRDefault="00170FD7" w:rsidP="00170FD7">
      <w:pPr>
        <w:pStyle w:val="ListParagraph"/>
        <w:spacing w:after="0" w:line="360" w:lineRule="auto"/>
        <w:ind w:left="1287"/>
        <w:rPr>
          <w:rFonts w:ascii="Arial" w:eastAsia="Times New Roman" w:hAnsi="Arial" w:cs="Arial"/>
          <w:b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5. </w:t>
      </w:r>
      <w:r w:rsidRPr="00170FD7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Bezbariérové úpravy pre pohyb osôb telesne postihnutých </w:t>
      </w:r>
    </w:p>
    <w:p w:rsidR="00170FD7" w:rsidRPr="00170FD7" w:rsidRDefault="00170FD7" w:rsidP="00170FD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70FD7">
        <w:rPr>
          <w:rFonts w:ascii="Arial" w:eastAsia="Times New Roman" w:hAnsi="Arial" w:cs="Arial"/>
          <w:sz w:val="24"/>
          <w:szCs w:val="24"/>
          <w:lang w:eastAsia="sk-SK"/>
        </w:rPr>
        <w:t>Hlavný vstup do objektu bude mať riešenú úpravu pre vstup imobilných osôb. Napravo od hlavného vstupu bude umiestnená zdvíhacia plošina.</w:t>
      </w:r>
    </w:p>
    <w:p w:rsidR="00170FD7" w:rsidRPr="00170FD7" w:rsidRDefault="00170FD7" w:rsidP="00170FD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70FD7">
        <w:rPr>
          <w:rFonts w:ascii="Arial" w:eastAsia="Times New Roman" w:hAnsi="Arial" w:cs="Arial"/>
          <w:sz w:val="24"/>
          <w:szCs w:val="24"/>
          <w:lang w:eastAsia="sk-SK"/>
        </w:rPr>
        <w:t>Šírky otvorov a vnútorných komunikácií  v spoločných priestoroch vyhovujú osobám s obmedzenou schopnosťou pohybu.</w:t>
      </w:r>
    </w:p>
    <w:p w:rsidR="00170FD7" w:rsidRPr="00170FD7" w:rsidRDefault="00170FD7" w:rsidP="00170FD7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              </w:t>
      </w:r>
      <w:r w:rsidRPr="00170FD7">
        <w:rPr>
          <w:rFonts w:ascii="Arial" w:eastAsia="Times New Roman" w:hAnsi="Arial" w:cs="Arial"/>
          <w:b/>
          <w:sz w:val="24"/>
          <w:szCs w:val="24"/>
          <w:lang w:eastAsia="sk-SK"/>
        </w:rPr>
        <w:t>6. Civilná ochrana</w:t>
      </w:r>
    </w:p>
    <w:p w:rsidR="00170FD7" w:rsidRPr="00170FD7" w:rsidRDefault="00170FD7" w:rsidP="00170FD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  <w:r w:rsidRPr="00170FD7">
        <w:rPr>
          <w:rFonts w:ascii="Arial" w:eastAsia="Times New Roman" w:hAnsi="Arial" w:cs="Arial"/>
          <w:sz w:val="24"/>
          <w:szCs w:val="24"/>
          <w:lang w:eastAsia="sk-SK"/>
        </w:rPr>
        <w:t xml:space="preserve">Navrhovaná stavba poskytuje plnohodnotné ukrytie pre ukrývané osoby v dostatočnom časovom intervale nevyhnutnom do doby vykonania evakuácie po </w:t>
      </w:r>
      <w:r w:rsidRPr="00170FD7">
        <w:rPr>
          <w:rFonts w:ascii="Arial" w:eastAsia="Times New Roman" w:hAnsi="Arial" w:cs="Arial"/>
          <w:sz w:val="24"/>
          <w:szCs w:val="24"/>
          <w:lang w:eastAsia="sk-SK"/>
        </w:rPr>
        <w:lastRenderedPageBreak/>
        <w:t>prechode rádioaktívneho prachu, zabezpečená je aj požadovaná odolnosť stavby zo statického hľadiska pri zavalení, pri podmienkach dodržania minimálnych závalových vzdialeností.</w:t>
      </w:r>
    </w:p>
    <w:p w:rsidR="00170FD7" w:rsidRPr="001666E4" w:rsidRDefault="00170FD7" w:rsidP="00170FD7">
      <w:pPr>
        <w:tabs>
          <w:tab w:val="left" w:pos="1418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sk-SK"/>
        </w:rPr>
      </w:pPr>
    </w:p>
    <w:p w:rsidR="008208F4" w:rsidRPr="001666E4" w:rsidRDefault="008208F4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3D96" w:rsidRPr="001666E4" w:rsidRDefault="00133D96" w:rsidP="001666E4">
      <w:pPr>
        <w:pStyle w:val="NoSpacing"/>
        <w:tabs>
          <w:tab w:val="left" w:pos="99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33D96" w:rsidRPr="00166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D3094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">
    <w:nsid w:val="1D765E6D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2">
    <w:nsid w:val="1FCE4E72"/>
    <w:multiLevelType w:val="hybridMultilevel"/>
    <w:tmpl w:val="1E00348E"/>
    <w:lvl w:ilvl="0" w:tplc="EA12472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56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741C2"/>
    <w:multiLevelType w:val="hybridMultilevel"/>
    <w:tmpl w:val="7C424D9C"/>
    <w:lvl w:ilvl="0" w:tplc="5E3486A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62CBD"/>
    <w:multiLevelType w:val="multilevel"/>
    <w:tmpl w:val="E58855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">
    <w:nsid w:val="277E4522"/>
    <w:multiLevelType w:val="hybridMultilevel"/>
    <w:tmpl w:val="9656FD70"/>
    <w:lvl w:ilvl="0" w:tplc="8DA44C1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465BB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7">
    <w:nsid w:val="379B7678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8">
    <w:nsid w:val="3A632728"/>
    <w:multiLevelType w:val="hybridMultilevel"/>
    <w:tmpl w:val="4C6095BA"/>
    <w:lvl w:ilvl="0" w:tplc="211CAC38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7F44E9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0">
    <w:nsid w:val="43240656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1">
    <w:nsid w:val="5BCC6E30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2">
    <w:nsid w:val="62A17C81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3">
    <w:nsid w:val="6FC40BAD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4">
    <w:nsid w:val="7AF02EAA"/>
    <w:multiLevelType w:val="hybridMultilevel"/>
    <w:tmpl w:val="A67443BC"/>
    <w:lvl w:ilvl="0" w:tplc="3816149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F30612"/>
    <w:multiLevelType w:val="multilevel"/>
    <w:tmpl w:val="5DE44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6">
    <w:nsid w:val="7E25367D"/>
    <w:multiLevelType w:val="hybridMultilevel"/>
    <w:tmpl w:val="C6CC2FFC"/>
    <w:lvl w:ilvl="0" w:tplc="3F8E8A4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2"/>
  </w:num>
  <w:num w:numId="5">
    <w:abstractNumId w:val="3"/>
  </w:num>
  <w:num w:numId="6">
    <w:abstractNumId w:val="14"/>
  </w:num>
  <w:num w:numId="7">
    <w:abstractNumId w:val="15"/>
  </w:num>
  <w:num w:numId="8">
    <w:abstractNumId w:val="0"/>
  </w:num>
  <w:num w:numId="9">
    <w:abstractNumId w:val="7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1"/>
  </w:num>
  <w:num w:numId="15">
    <w:abstractNumId w:val="12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5AB"/>
    <w:rsid w:val="00016A5E"/>
    <w:rsid w:val="00087536"/>
    <w:rsid w:val="000F634D"/>
    <w:rsid w:val="00133D96"/>
    <w:rsid w:val="001666E4"/>
    <w:rsid w:val="00170FD7"/>
    <w:rsid w:val="00173006"/>
    <w:rsid w:val="002410F0"/>
    <w:rsid w:val="003B2A22"/>
    <w:rsid w:val="004565AB"/>
    <w:rsid w:val="004B2ADE"/>
    <w:rsid w:val="00527390"/>
    <w:rsid w:val="00702438"/>
    <w:rsid w:val="00750B25"/>
    <w:rsid w:val="008208F4"/>
    <w:rsid w:val="009F1541"/>
    <w:rsid w:val="00E6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5AB"/>
    <w:pPr>
      <w:ind w:left="720"/>
      <w:contextualSpacing/>
    </w:pPr>
  </w:style>
  <w:style w:type="paragraph" w:styleId="NoSpacing">
    <w:name w:val="No Spacing"/>
    <w:uiPriority w:val="1"/>
    <w:qFormat/>
    <w:rsid w:val="004565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65AB"/>
    <w:pPr>
      <w:ind w:left="720"/>
      <w:contextualSpacing/>
    </w:pPr>
  </w:style>
  <w:style w:type="paragraph" w:styleId="NoSpacing">
    <w:name w:val="No Spacing"/>
    <w:uiPriority w:val="1"/>
    <w:qFormat/>
    <w:rsid w:val="004565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Radovan</dc:creator>
  <cp:lastModifiedBy>Radovan</cp:lastModifiedBy>
  <cp:revision>3</cp:revision>
  <cp:lastPrinted>2011-05-09T04:38:00Z</cp:lastPrinted>
  <dcterms:created xsi:type="dcterms:W3CDTF">2011-05-09T02:04:00Z</dcterms:created>
  <dcterms:modified xsi:type="dcterms:W3CDTF">2011-05-09T04:39:00Z</dcterms:modified>
</cp:coreProperties>
</file>